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Poppins" w:cs="Poppins" w:eastAsia="Poppins" w:hAnsi="Poppins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141f2e" w:space="0" w:sz="8" w:val="single"/>
          <w:left w:color="141f2e" w:space="0" w:sz="8" w:val="single"/>
          <w:bottom w:color="141f2e" w:space="0" w:sz="8" w:val="single"/>
          <w:right w:color="141f2e" w:space="0" w:sz="8" w:val="single"/>
          <w:insideH w:color="141f2e" w:space="0" w:sz="8" w:val="single"/>
          <w:insideV w:color="141f2e" w:space="0" w:sz="8" w:val="single"/>
        </w:tblBorders>
        <w:tblLayout w:type="fixed"/>
        <w:tblLook w:val="0600"/>
      </w:tblPr>
      <w:tblGrid>
        <w:gridCol w:w="2560"/>
        <w:gridCol w:w="8240"/>
        <w:tblGridChange w:id="0">
          <w:tblGrid>
            <w:gridCol w:w="2560"/>
            <w:gridCol w:w="8240"/>
          </w:tblGrid>
        </w:tblGridChange>
      </w:tblGrid>
      <w:tr>
        <w:trPr>
          <w:cantSplit w:val="0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Project: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[Project / Subscription Name]</w:t>
            </w:r>
          </w:p>
        </w:tc>
      </w:tr>
      <w:tr>
        <w:trPr>
          <w:cantSplit w:val="0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Date:</w:t>
            </w:r>
          </w:p>
        </w:tc>
        <w:tc>
          <w:tcPr>
            <w:shd w:fill="f0f5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[YYYY-MM-DD]</w:t>
            </w:r>
          </w:p>
        </w:tc>
      </w:tr>
      <w:tr>
        <w:trPr>
          <w:cantSplit w:val="0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SOW #: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[ID]</w:t>
            </w:r>
          </w:p>
        </w:tc>
      </w:tr>
      <w:tr>
        <w:trPr>
          <w:cantSplit w:val="0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Client: </w:t>
            </w:r>
          </w:p>
        </w:tc>
        <w:tc>
          <w:tcPr>
            <w:shd w:fill="f0f5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[Client Name]</w:t>
            </w:r>
          </w:p>
        </w:tc>
      </w:tr>
      <w:tr>
        <w:trPr>
          <w:cantSplit w:val="0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Provider: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[Your Company]</w:t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61"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Poppins SemiBold" w:cs="Poppins SemiBold" w:eastAsia="Poppins SemiBold" w:hAnsi="Poppins SemiBold"/>
          <w:color w:val="141f2e"/>
        </w:rPr>
      </w:pPr>
      <w:r w:rsidDel="00000000" w:rsidR="00000000" w:rsidRPr="00000000">
        <w:rPr>
          <w:rFonts w:ascii="Poppins SemiBold" w:cs="Poppins SemiBold" w:eastAsia="Poppins SemiBold" w:hAnsi="Poppins SemiBold"/>
          <w:color w:val="141f2e"/>
          <w:sz w:val="24"/>
          <w:szCs w:val="24"/>
          <w:rtl w:val="0"/>
        </w:rPr>
        <w:t xml:space="preserve">Introduction &amp; Purpose</w:t>
      </w: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center"/>
        <w:tblBorders>
          <w:top w:color="141f2e" w:space="0" w:sz="8" w:val="single"/>
          <w:left w:color="141f2e" w:space="0" w:sz="8" w:val="single"/>
          <w:bottom w:color="141f2e" w:space="0" w:sz="8" w:val="single"/>
          <w:right w:color="141f2e" w:space="0" w:sz="8" w:val="single"/>
          <w:insideH w:color="141f2e" w:space="0" w:sz="8" w:val="single"/>
          <w:insideV w:color="141f2e" w:space="0" w:sz="8" w:val="single"/>
        </w:tblBorders>
        <w:tblLayout w:type="fixed"/>
        <w:tblLook w:val="0600"/>
      </w:tblPr>
      <w:tblGrid>
        <w:gridCol w:w="2560"/>
        <w:gridCol w:w="8240"/>
        <w:tblGridChange w:id="0">
          <w:tblGrid>
            <w:gridCol w:w="2560"/>
            <w:gridCol w:w="8240"/>
          </w:tblGrid>
        </w:tblGridChange>
      </w:tblGrid>
      <w:tr>
        <w:trPr>
          <w:cantSplit w:val="0"/>
          <w:trHeight w:val="583.9892578125" w:hRule="atLeast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Purpose: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[Summarize why this project exists]</w:t>
            </w:r>
          </w:p>
        </w:tc>
      </w:tr>
      <w:tr>
        <w:trPr>
          <w:cantSplit w:val="0"/>
          <w:trHeight w:val="583.9892578125" w:hRule="atLeast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Objectives: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[Key measurable outcomes, e.g., uptime %, adoption rate]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76" w:lineRule="auto"/>
        <w:jc w:val="center"/>
        <w:rPr>
          <w:rFonts w:ascii="Poppins SemiBold" w:cs="Poppins SemiBold" w:eastAsia="Poppins SemiBold" w:hAnsi="Poppins SemiBold"/>
          <w:color w:val="141f2e"/>
          <w:sz w:val="20"/>
          <w:szCs w:val="20"/>
        </w:rPr>
      </w:pPr>
      <w:r w:rsidDel="00000000" w:rsidR="00000000" w:rsidRPr="00000000">
        <w:rPr>
          <w:rFonts w:ascii="Poppins SemiBold" w:cs="Poppins SemiBold" w:eastAsia="Poppins SemiBold" w:hAnsi="Poppins SemiBold"/>
          <w:color w:val="141f2e"/>
          <w:sz w:val="24"/>
          <w:szCs w:val="24"/>
          <w:rtl w:val="0"/>
        </w:rPr>
        <w:t xml:space="preserve">Scope of Services</w:t>
      </w: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7860"/>
        <w:tblGridChange w:id="0">
          <w:tblGrid>
            <w:gridCol w:w="2940"/>
            <w:gridCol w:w="786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ffffff"/>
                <w:rtl w:val="0"/>
              </w:rPr>
              <w:t xml:space="preserve">     </w:t>
            </w: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 In Scope    </w:t>
            </w: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ffffff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shd w:fill="c7e1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Poppins" w:cs="Poppins" w:eastAsia="Poppins" w:hAnsi="Poppins"/>
                <w:color w:val="141f2e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141f2e"/>
                <w:rtl w:val="0"/>
              </w:rPr>
              <w:t xml:space="preserve">Subscription license(s):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Poppins" w:cs="Poppins" w:eastAsia="Poppins" w:hAnsi="Poppins"/>
                <w:color w:val="141f2e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141f2e"/>
                <w:rtl w:val="0"/>
              </w:rPr>
              <w:t xml:space="preserve">[plan/tier, # of seats]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c7e1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Poppins" w:cs="Poppins" w:eastAsia="Poppins" w:hAnsi="Poppins"/>
                <w:color w:val="141f2e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141f2e"/>
                <w:rtl w:val="0"/>
              </w:rPr>
              <w:t xml:space="preserve">Onboarding &amp; configuration:</w:t>
            </w:r>
          </w:p>
        </w:tc>
        <w:tc>
          <w:tcPr>
            <w:shd w:fill="f0f5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7e1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Poppins" w:cs="Poppins" w:eastAsia="Poppins" w:hAnsi="Poppins"/>
                <w:color w:val="141f2e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141f2e"/>
                <w:rtl w:val="0"/>
              </w:rPr>
              <w:t xml:space="preserve">Integrations: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[list systems]</w:t>
            </w:r>
          </w:p>
        </w:tc>
      </w:tr>
      <w:tr>
        <w:trPr>
          <w:cantSplit w:val="0"/>
          <w:tblHeader w:val="0"/>
        </w:trPr>
        <w:tc>
          <w:tcPr>
            <w:shd w:fill="c7e1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Poppins" w:cs="Poppins" w:eastAsia="Poppins" w:hAnsi="Poppins"/>
                <w:color w:val="141f2e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141f2e"/>
                <w:rtl w:val="0"/>
              </w:rPr>
              <w:t xml:space="preserve">Training &amp; documentation:</w:t>
            </w:r>
          </w:p>
        </w:tc>
        <w:tc>
          <w:tcPr>
            <w:shd w:fill="f0f5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7e1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Poppins" w:cs="Poppins" w:eastAsia="Poppins" w:hAnsi="Poppins"/>
                <w:color w:val="141f2e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141f2e"/>
                <w:rtl w:val="0"/>
              </w:rPr>
              <w:t xml:space="preserve">Support per SLA: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Out of Scope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[List exclusions, e.g., hardware, unsupported integrations]</w:t>
            </w:r>
          </w:p>
        </w:tc>
      </w:tr>
    </w:tbl>
    <w:p w:rsidR="00000000" w:rsidDel="00000000" w:rsidP="00000000" w:rsidRDefault="00000000" w:rsidRPr="00000000" w14:paraId="00000027">
      <w:pPr>
        <w:spacing w:after="200" w:line="276" w:lineRule="auto"/>
        <w:jc w:val="center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Poppins SemiBold" w:cs="Poppins SemiBold" w:eastAsia="Poppins SemiBold" w:hAnsi="Poppins SemiBold"/>
          <w:sz w:val="24"/>
          <w:szCs w:val="24"/>
        </w:rPr>
      </w:pPr>
      <w:r w:rsidDel="00000000" w:rsidR="00000000" w:rsidRPr="00000000">
        <w:rPr>
          <w:rFonts w:ascii="Poppins SemiBold" w:cs="Poppins SemiBold" w:eastAsia="Poppins SemiBold" w:hAnsi="Poppins SemiBold"/>
          <w:color w:val="141f2e"/>
          <w:sz w:val="24"/>
          <w:szCs w:val="24"/>
          <w:rtl w:val="0"/>
        </w:rPr>
        <w:t xml:space="preserve">Deliverables &amp; Timeline</w:t>
      </w: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center"/>
        <w:tblBorders>
          <w:top w:color="141f2e" w:space="0" w:sz="8" w:val="single"/>
          <w:left w:color="141f2e" w:space="0" w:sz="8" w:val="single"/>
          <w:bottom w:color="141f2e" w:space="0" w:sz="8" w:val="single"/>
          <w:right w:color="141f2e" w:space="0" w:sz="8" w:val="single"/>
          <w:insideH w:color="141f2e" w:space="0" w:sz="8" w:val="single"/>
          <w:insideV w:color="141f2e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Deliverable</w:t>
            </w:r>
          </w:p>
        </w:tc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Acceptance Criteria </w:t>
            </w:r>
          </w:p>
        </w:tc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Target 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Onboarding Kickoff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Project plan approved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[Date]</w:t>
            </w:r>
          </w:p>
        </w:tc>
      </w:tr>
      <w:tr>
        <w:trPr>
          <w:cantSplit w:val="0"/>
          <w:tblHeader w:val="0"/>
        </w:trPr>
        <w:tc>
          <w:tcPr>
            <w:shd w:fill="f0f5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Integration Setup </w:t>
            </w:r>
          </w:p>
        </w:tc>
        <w:tc>
          <w:tcPr>
            <w:shd w:fill="f0f5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APIs tested &amp; validated </w:t>
            </w:r>
          </w:p>
        </w:tc>
        <w:tc>
          <w:tcPr>
            <w:shd w:fill="f0f5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[Date]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User Training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Sessions delivered &amp; documented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[Date]</w:t>
            </w:r>
          </w:p>
        </w:tc>
      </w:tr>
      <w:tr>
        <w:trPr>
          <w:cantSplit w:val="0"/>
          <w:tblHeader w:val="0"/>
        </w:trPr>
        <w:tc>
          <w:tcPr>
            <w:shd w:fill="f0f5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Go-Live </w:t>
            </w:r>
          </w:p>
        </w:tc>
        <w:tc>
          <w:tcPr>
            <w:shd w:fill="f0f5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SLA baseline confirmed </w:t>
            </w:r>
          </w:p>
        </w:tc>
        <w:tc>
          <w:tcPr>
            <w:shd w:fill="f0f5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[Date]</w:t>
            </w:r>
          </w:p>
        </w:tc>
      </w:tr>
    </w:tbl>
    <w:p w:rsidR="00000000" w:rsidDel="00000000" w:rsidP="00000000" w:rsidRDefault="00000000" w:rsidRPr="00000000" w14:paraId="00000038">
      <w:pPr>
        <w:spacing w:after="200" w:line="276" w:lineRule="auto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center"/>
        <w:rPr>
          <w:rFonts w:ascii="Poppins SemiBold" w:cs="Poppins SemiBold" w:eastAsia="Poppins SemiBold" w:hAnsi="Poppins SemiBold"/>
          <w:color w:val="141f2e"/>
          <w:sz w:val="24"/>
          <w:szCs w:val="24"/>
        </w:rPr>
      </w:pPr>
      <w:r w:rsidDel="00000000" w:rsidR="00000000" w:rsidRPr="00000000">
        <w:rPr>
          <w:rFonts w:ascii="Poppins SemiBold" w:cs="Poppins SemiBold" w:eastAsia="Poppins SemiBold" w:hAnsi="Poppins SemiBold"/>
          <w:color w:val="141f2e"/>
          <w:sz w:val="24"/>
          <w:szCs w:val="24"/>
          <w:rtl w:val="0"/>
        </w:rPr>
        <w:t xml:space="preserve">Roles &amp; Responsibilities</w:t>
      </w:r>
    </w:p>
    <w:tbl>
      <w:tblPr>
        <w:tblStyle w:val="Table5"/>
        <w:tblW w:w="10800.0" w:type="dxa"/>
        <w:jc w:val="center"/>
        <w:tblBorders>
          <w:top w:color="141f2e" w:space="0" w:sz="8" w:val="single"/>
          <w:left w:color="141f2e" w:space="0" w:sz="8" w:val="single"/>
          <w:bottom w:color="141f2e" w:space="0" w:sz="8" w:val="single"/>
          <w:right w:color="141f2e" w:space="0" w:sz="8" w:val="single"/>
          <w:insideH w:color="141f2e" w:space="0" w:sz="8" w:val="single"/>
          <w:insideV w:color="141f2e" w:space="0" w:sz="8" w:val="single"/>
        </w:tblBorders>
        <w:tblLayout w:type="fixed"/>
        <w:tblLook w:val="0600"/>
      </w:tblPr>
      <w:tblGrid>
        <w:gridCol w:w="3840"/>
        <w:gridCol w:w="6960"/>
        <w:tblGridChange w:id="0">
          <w:tblGrid>
            <w:gridCol w:w="3840"/>
            <w:gridCol w:w="696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29874a"/>
                <w:rtl w:val="0"/>
              </w:rPr>
              <w:t xml:space="preserve">Client:</w:t>
            </w:r>
            <w:r w:rsidDel="00000000" w:rsidR="00000000" w:rsidRPr="00000000">
              <w:rPr>
                <w:rFonts w:ascii="Poppins" w:cs="Poppins" w:eastAsia="Poppins" w:hAnsi="Poppins"/>
                <w:color w:val="29874a"/>
                <w:rtl w:val="0"/>
              </w:rPr>
              <w:t xml:space="preserve"> </w:t>
            </w: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Provide data, credentials, timely sign-off.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f0f5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29874a"/>
                <w:rtl w:val="0"/>
              </w:rPr>
              <w:t xml:space="preserve">Provider:</w:t>
            </w: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 </w:t>
            </w: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Deliver scope, manage project, report progress.</w:t>
            </w:r>
          </w:p>
        </w:tc>
      </w:tr>
    </w:tbl>
    <w:p w:rsidR="00000000" w:rsidDel="00000000" w:rsidP="00000000" w:rsidRDefault="00000000" w:rsidRPr="00000000" w14:paraId="0000003F">
      <w:pPr>
        <w:spacing w:after="200" w:line="276" w:lineRule="auto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center"/>
        <w:rPr>
          <w:rFonts w:ascii="Poppins SemiBold" w:cs="Poppins SemiBold" w:eastAsia="Poppins SemiBold" w:hAnsi="Poppins SemiBold"/>
          <w:color w:val="141f2e"/>
        </w:rPr>
      </w:pPr>
      <w:r w:rsidDel="00000000" w:rsidR="00000000" w:rsidRPr="00000000">
        <w:rPr>
          <w:rFonts w:ascii="Poppins SemiBold" w:cs="Poppins SemiBold" w:eastAsia="Poppins SemiBold" w:hAnsi="Poppins SemiBold"/>
          <w:color w:val="141f2e"/>
          <w:sz w:val="24"/>
          <w:szCs w:val="24"/>
          <w:rtl w:val="0"/>
        </w:rPr>
        <w:t xml:space="preserve">Pricing &amp; Payment Terms</w:t>
      </w: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center"/>
        <w:tblBorders>
          <w:top w:color="141f2e" w:space="0" w:sz="8" w:val="single"/>
          <w:left w:color="141f2e" w:space="0" w:sz="8" w:val="single"/>
          <w:bottom w:color="141f2e" w:space="0" w:sz="8" w:val="single"/>
          <w:right w:color="141f2e" w:space="0" w:sz="8" w:val="single"/>
          <w:insideH w:color="141f2e" w:space="0" w:sz="8" w:val="single"/>
          <w:insideV w:color="141f2e" w:space="0" w:sz="8" w:val="single"/>
        </w:tblBorders>
        <w:tblLayout w:type="fixed"/>
        <w:tblLook w:val="0600"/>
      </w:tblPr>
      <w:tblGrid>
        <w:gridCol w:w="2265"/>
        <w:gridCol w:w="8535"/>
        <w:tblGridChange w:id="0">
          <w:tblGrid>
            <w:gridCol w:w="2265"/>
            <w:gridCol w:w="8535"/>
          </w:tblGrid>
        </w:tblGridChange>
      </w:tblGrid>
      <w:tr>
        <w:trPr>
          <w:cantSplit w:val="0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Subscription Fee: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[$X/month or annual]</w:t>
            </w:r>
          </w:p>
        </w:tc>
      </w:tr>
      <w:tr>
        <w:trPr>
          <w:cantSplit w:val="0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Onboarding Fee:</w:t>
            </w:r>
          </w:p>
        </w:tc>
        <w:tc>
          <w:tcPr>
            <w:shd w:fill="f0f5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[$Y, one-time]</w:t>
            </w:r>
          </w:p>
        </w:tc>
      </w:tr>
      <w:tr>
        <w:trPr>
          <w:cantSplit w:val="0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Payment Terms: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[e.g., Net 30, renewal notice period]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center"/>
        <w:rPr>
          <w:rFonts w:ascii="Poppins SemiBold" w:cs="Poppins SemiBold" w:eastAsia="Poppins SemiBold" w:hAnsi="Poppins SemiBold"/>
          <w:color w:val="141f2e"/>
        </w:rPr>
      </w:pPr>
      <w:r w:rsidDel="00000000" w:rsidR="00000000" w:rsidRPr="00000000">
        <w:rPr>
          <w:rFonts w:ascii="Poppins SemiBold" w:cs="Poppins SemiBold" w:eastAsia="Poppins SemiBold" w:hAnsi="Poppins SemiBold"/>
          <w:color w:val="141f2e"/>
          <w:sz w:val="24"/>
          <w:szCs w:val="24"/>
          <w:rtl w:val="0"/>
        </w:rPr>
        <w:t xml:space="preserve">Data Security &amp; Compliance</w:t>
      </w: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center"/>
        <w:tblBorders>
          <w:top w:color="141f2e" w:space="0" w:sz="8" w:val="single"/>
          <w:left w:color="141f2e" w:space="0" w:sz="8" w:val="single"/>
          <w:bottom w:color="141f2e" w:space="0" w:sz="8" w:val="single"/>
          <w:right w:color="141f2e" w:space="0" w:sz="8" w:val="single"/>
          <w:insideH w:color="141f2e" w:space="0" w:sz="8" w:val="single"/>
          <w:insideV w:color="141f2e" w:space="0" w:sz="8" w:val="single"/>
        </w:tblBorders>
        <w:tblLayout w:type="fixed"/>
        <w:tblLook w:val="0600"/>
      </w:tblPr>
      <w:tblGrid>
        <w:gridCol w:w="2070"/>
        <w:gridCol w:w="8730"/>
        <w:tblGridChange w:id="0">
          <w:tblGrid>
            <w:gridCol w:w="2070"/>
            <w:gridCol w:w="8730"/>
          </w:tblGrid>
        </w:tblGridChange>
      </w:tblGrid>
      <w:tr>
        <w:trPr>
          <w:cantSplit w:val="0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Client retains data ownership: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Data export format:</w:t>
            </w:r>
          </w:p>
        </w:tc>
        <w:tc>
          <w:tcPr>
            <w:shd w:fill="f0f5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[CSV/JSON/API]</w:t>
            </w:r>
          </w:p>
        </w:tc>
      </w:tr>
      <w:tr>
        <w:trPr>
          <w:cantSplit w:val="0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Encryption at rest/in transit: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Compliance: </w:t>
            </w:r>
          </w:p>
        </w:tc>
        <w:tc>
          <w:tcPr>
            <w:shd w:fill="f0f5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[GDPR, SOC2, ISO 27001]</w:t>
            </w:r>
          </w:p>
        </w:tc>
      </w:tr>
    </w:tbl>
    <w:p w:rsidR="00000000" w:rsidDel="00000000" w:rsidP="00000000" w:rsidRDefault="00000000" w:rsidRPr="00000000" w14:paraId="00000056">
      <w:pPr>
        <w:spacing w:after="200" w:line="276" w:lineRule="auto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00" w:line="276" w:lineRule="auto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center"/>
        <w:rPr>
          <w:rFonts w:ascii="Poppins SemiBold" w:cs="Poppins SemiBold" w:eastAsia="Poppins SemiBold" w:hAnsi="Poppins SemiBold"/>
        </w:rPr>
      </w:pPr>
      <w:r w:rsidDel="00000000" w:rsidR="00000000" w:rsidRPr="00000000">
        <w:rPr>
          <w:rFonts w:ascii="Poppins SemiBold" w:cs="Poppins SemiBold" w:eastAsia="Poppins SemiBold" w:hAnsi="Poppins SemiBold"/>
          <w:sz w:val="24"/>
          <w:szCs w:val="24"/>
          <w:rtl w:val="0"/>
        </w:rPr>
        <w:t xml:space="preserve">Exit &amp; Termination</w:t>
      </w:r>
      <w:r w:rsidDel="00000000" w:rsidR="00000000" w:rsidRPr="00000000">
        <w:rPr>
          <w:rtl w:val="0"/>
        </w:rPr>
      </w:r>
    </w:p>
    <w:tbl>
      <w:tblPr>
        <w:tblStyle w:val="Table8"/>
        <w:tblW w:w="10800.0" w:type="dxa"/>
        <w:jc w:val="center"/>
        <w:tblBorders>
          <w:top w:color="141f2e" w:space="0" w:sz="8" w:val="single"/>
          <w:left w:color="141f2e" w:space="0" w:sz="8" w:val="single"/>
          <w:bottom w:color="141f2e" w:space="0" w:sz="8" w:val="single"/>
          <w:right w:color="141f2e" w:space="0" w:sz="8" w:val="single"/>
          <w:insideH w:color="141f2e" w:space="0" w:sz="8" w:val="single"/>
          <w:insideV w:color="141f2e" w:space="0" w:sz="8" w:val="single"/>
        </w:tblBorders>
        <w:tblLayout w:type="fixed"/>
        <w:tblLook w:val="0600"/>
      </w:tblPr>
      <w:tblGrid>
        <w:gridCol w:w="2040"/>
        <w:gridCol w:w="8760"/>
        <w:tblGridChange w:id="0">
          <w:tblGrid>
            <w:gridCol w:w="2040"/>
            <w:gridCol w:w="8760"/>
          </w:tblGrid>
        </w:tblGridChange>
      </w:tblGrid>
      <w:tr>
        <w:trPr>
          <w:cantSplit w:val="0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Term: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[12 months, auto-renew unless 60-day notice]</w:t>
            </w:r>
          </w:p>
        </w:tc>
      </w:tr>
      <w:tr>
        <w:trPr>
          <w:cantSplit w:val="0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Termination:</w:t>
            </w:r>
          </w:p>
        </w:tc>
        <w:tc>
          <w:tcPr>
            <w:shd w:fill="f0f5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[for cause / convenience]</w:t>
            </w:r>
          </w:p>
        </w:tc>
      </w:tr>
      <w:tr>
        <w:trPr>
          <w:cantSplit w:val="0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Offboarding: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Provider to assist with data export &amp; account closure within [X days]</w:t>
            </w:r>
          </w:p>
        </w:tc>
      </w:tr>
    </w:tbl>
    <w:p w:rsidR="00000000" w:rsidDel="00000000" w:rsidP="00000000" w:rsidRDefault="00000000" w:rsidRPr="00000000" w14:paraId="0000005F">
      <w:pPr>
        <w:spacing w:after="200" w:line="276" w:lineRule="auto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Poppins" w:cs="Poppins" w:eastAsia="Poppins" w:hAnsi="Poppins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jc w:val="center"/>
        <w:rPr>
          <w:rFonts w:ascii="Poppins SemiBold" w:cs="Poppins SemiBold" w:eastAsia="Poppins SemiBold" w:hAnsi="Poppins SemiBold"/>
          <w:color w:val="141f2e"/>
          <w:sz w:val="24"/>
          <w:szCs w:val="24"/>
        </w:rPr>
      </w:pPr>
      <w:r w:rsidDel="00000000" w:rsidR="00000000" w:rsidRPr="00000000">
        <w:rPr>
          <w:rFonts w:ascii="Poppins SemiBold" w:cs="Poppins SemiBold" w:eastAsia="Poppins SemiBold" w:hAnsi="Poppins SemiBold"/>
          <w:color w:val="141f2e"/>
          <w:sz w:val="24"/>
          <w:szCs w:val="24"/>
          <w:rtl w:val="0"/>
        </w:rPr>
        <w:t xml:space="preserve">Assumptions &amp; Risks</w:t>
      </w:r>
    </w:p>
    <w:tbl>
      <w:tblPr>
        <w:tblStyle w:val="Table9"/>
        <w:tblW w:w="10800.0" w:type="dxa"/>
        <w:jc w:val="center"/>
        <w:tblBorders>
          <w:top w:color="141f2e" w:space="0" w:sz="8" w:val="single"/>
          <w:left w:color="141f2e" w:space="0" w:sz="8" w:val="single"/>
          <w:bottom w:color="141f2e" w:space="0" w:sz="8" w:val="single"/>
          <w:right w:color="141f2e" w:space="0" w:sz="8" w:val="single"/>
          <w:insideH w:color="141f2e" w:space="0" w:sz="8" w:val="single"/>
          <w:insideV w:color="141f2e" w:space="0" w:sz="8" w:val="single"/>
        </w:tblBorders>
        <w:tblLayout w:type="fixed"/>
        <w:tblLook w:val="0600"/>
      </w:tblPr>
      <w:tblGrid>
        <w:gridCol w:w="2040"/>
        <w:gridCol w:w="8760"/>
        <w:tblGridChange w:id="0">
          <w:tblGrid>
            <w:gridCol w:w="2040"/>
            <w:gridCol w:w="8760"/>
          </w:tblGrid>
        </w:tblGridChange>
      </w:tblGrid>
      <w:tr>
        <w:trPr>
          <w:cantSplit w:val="0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Assumptions: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[e.g., client systems ready]</w:t>
            </w:r>
          </w:p>
        </w:tc>
      </w:tr>
      <w:tr>
        <w:trPr>
          <w:cantSplit w:val="0"/>
          <w:tblHeader w:val="0"/>
        </w:trPr>
        <w:tc>
          <w:tcPr>
            <w:shd w:fill="2987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rtl w:val="0"/>
              </w:rPr>
              <w:t xml:space="preserve">Risks:</w:t>
            </w:r>
          </w:p>
        </w:tc>
        <w:tc>
          <w:tcPr>
            <w:shd w:fill="f0f5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[integration delays, data quality]</w:t>
            </w:r>
          </w:p>
        </w:tc>
      </w:tr>
    </w:tbl>
    <w:p w:rsidR="00000000" w:rsidDel="00000000" w:rsidP="00000000" w:rsidRDefault="00000000" w:rsidRPr="00000000" w14:paraId="00000066">
      <w:pPr>
        <w:spacing w:after="200" w:line="276" w:lineRule="auto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Poppins" w:cs="Poppins" w:eastAsia="Poppins" w:hAnsi="Poppins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center"/>
        <w:rPr>
          <w:rFonts w:ascii="Poppins SemiBold" w:cs="Poppins SemiBold" w:eastAsia="Poppins SemiBold" w:hAnsi="Poppins SemiBold"/>
          <w:color w:val="141f2e"/>
        </w:rPr>
      </w:pPr>
      <w:r w:rsidDel="00000000" w:rsidR="00000000" w:rsidRPr="00000000">
        <w:rPr>
          <w:rFonts w:ascii="Poppins SemiBold" w:cs="Poppins SemiBold" w:eastAsia="Poppins SemiBold" w:hAnsi="Poppins SemiBold"/>
          <w:color w:val="141f2e"/>
          <w:sz w:val="24"/>
          <w:szCs w:val="24"/>
          <w:rtl w:val="0"/>
        </w:rPr>
        <w:t xml:space="preserve">Authorization</w:t>
      </w:r>
      <w:r w:rsidDel="00000000" w:rsidR="00000000" w:rsidRPr="00000000">
        <w:rPr>
          <w:rtl w:val="0"/>
        </w:rPr>
      </w:r>
    </w:p>
    <w:tbl>
      <w:tblPr>
        <w:tblStyle w:val="Table10"/>
        <w:tblW w:w="10800.0" w:type="dxa"/>
        <w:jc w:val="center"/>
        <w:tblBorders>
          <w:top w:color="141f2e" w:space="0" w:sz="8" w:val="single"/>
          <w:left w:color="141f2e" w:space="0" w:sz="8" w:val="single"/>
          <w:bottom w:color="141f2e" w:space="0" w:sz="8" w:val="single"/>
          <w:right w:color="141f2e" w:space="0" w:sz="8" w:val="single"/>
          <w:insideH w:color="141f2e" w:space="0" w:sz="8" w:val="single"/>
          <w:insideV w:color="141f2e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Poppins" w:cs="Poppins" w:eastAsia="Poppins" w:hAnsi="Poppins"/>
                <w:color w:val="141f2e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29874a"/>
                <w:rtl w:val="0"/>
              </w:rPr>
              <w:t xml:space="preserve">Client:</w:t>
            </w:r>
            <w:r w:rsidDel="00000000" w:rsidR="00000000" w:rsidRPr="00000000">
              <w:rPr>
                <w:rFonts w:ascii="Poppins" w:cs="Poppins" w:eastAsia="Poppins" w:hAnsi="Poppins"/>
                <w:color w:val="141f2e"/>
                <w:rtl w:val="0"/>
              </w:rPr>
              <w:t xml:space="preserve"> </w:t>
            </w: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[Name, Title, Date, Signature]</w:t>
            </w:r>
            <w:r w:rsidDel="00000000" w:rsidR="00000000" w:rsidRPr="00000000">
              <w:rPr>
                <w:rFonts w:ascii="Poppins" w:cs="Poppins" w:eastAsia="Poppins" w:hAnsi="Poppins"/>
                <w:color w:val="141f2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Nunito" w:cs="Nunito" w:eastAsia="Nunito" w:hAnsi="Nunito"/>
                <w:color w:val="141f2e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29874a"/>
                <w:rtl w:val="0"/>
              </w:rPr>
              <w:t xml:space="preserve">Provider:</w:t>
            </w: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41f2e"/>
                <w:rtl w:val="0"/>
              </w:rPr>
              <w:t xml:space="preserve"> </w:t>
            </w:r>
            <w:r w:rsidDel="00000000" w:rsidR="00000000" w:rsidRPr="00000000">
              <w:rPr>
                <w:rFonts w:ascii="Nunito" w:cs="Nunito" w:eastAsia="Nunito" w:hAnsi="Nunito"/>
                <w:color w:val="141f2e"/>
                <w:rtl w:val="0"/>
              </w:rPr>
              <w:t xml:space="preserve">[Name, Title, Date, Signature]</w:t>
            </w:r>
          </w:p>
        </w:tc>
      </w:tr>
    </w:tbl>
    <w:p w:rsidR="00000000" w:rsidDel="00000000" w:rsidP="00000000" w:rsidRDefault="00000000" w:rsidRPr="00000000" w14:paraId="0000006B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oppins SemiBol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-19049</wp:posOffset>
              </wp:positionV>
              <wp:extent cx="7772400" cy="931168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459800" y="3322800"/>
                        <a:ext cx="7772400" cy="931168"/>
                        <a:chOff x="1459800" y="3322800"/>
                        <a:chExt cx="7772425" cy="914400"/>
                      </a:xfrm>
                    </wpg:grpSpPr>
                    <wpg:grpSp>
                      <wpg:cNvGrpSpPr/>
                      <wpg:grpSpPr>
                        <a:xfrm>
                          <a:off x="1459800" y="3322800"/>
                          <a:ext cx="7772400" cy="914400"/>
                          <a:chOff x="0" y="0"/>
                          <a:chExt cx="7772400" cy="9144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772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7772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5644756" y="217338"/>
                            <a:ext cx="1670443" cy="479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SpPr/>
                      <wps:cNvPr id="6" name="Shape 6"/>
                      <wps:spPr>
                        <a:xfrm>
                          <a:off x="1848500" y="3636376"/>
                          <a:ext cx="3723900" cy="30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55.999999046325684" w:line="240"/>
                              <w:ind w:left="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 SemiBold" w:cs="Poppins SemiBold" w:eastAsia="Poppins SemiBold" w:hAnsi="Poppins SemiBold"/>
                                <w:b w:val="0"/>
                                <w:i w:val="0"/>
                                <w:smallCaps w:val="0"/>
                                <w:strike w:val="0"/>
                                <w:color w:val="93c953"/>
                                <w:sz w:val="32"/>
                                <w:vertAlign w:val="baseline"/>
                              </w:rPr>
                              <w:t xml:space="preserve">SaaS Statement of</w:t>
                            </w:r>
                            <w:r w:rsidDel="00000000" w:rsidR="00000000" w:rsidRPr="00000000">
                              <w:rPr>
                                <w:rFonts w:ascii="Poppins Medium" w:cs="Poppins Medium" w:eastAsia="Poppins Medium" w:hAnsi="Poppins Medium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 Work (SOW)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-19049</wp:posOffset>
              </wp:positionV>
              <wp:extent cx="7772400" cy="931168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9311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11" Type="http://schemas.openxmlformats.org/officeDocument/2006/relationships/font" Target="fonts/PoppinsSemiBold-italic.ttf"/><Relationship Id="rId10" Type="http://schemas.openxmlformats.org/officeDocument/2006/relationships/font" Target="fonts/PoppinsSemiBold-bold.ttf"/><Relationship Id="rId12" Type="http://schemas.openxmlformats.org/officeDocument/2006/relationships/font" Target="fonts/PoppinsSemiBold-boldItalic.ttf"/><Relationship Id="rId9" Type="http://schemas.openxmlformats.org/officeDocument/2006/relationships/font" Target="fonts/PoppinsSemiBold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